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Kahn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Brand President, Coach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129.02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97,479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132.26</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96,185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acquired in the form of unvested restricted stock units issued under the Issuer's Stock Incentive Plan. These securities will vest in four equal tranches on the first, second, third and fourth anniversaries of the date of grant. The first tranch will vest on August 17, 2027, the second on August 17, 2028, the third on August 17, 2029 and the fourth on August 17,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468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4050</Characters>
  <CharactersWithSpaces>4722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