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Crevoiserat Joanne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TAPESTRY, INC.</w:t>
              </w:r>
            </w:hyperlink>
            <w:r>
              <w:rPr/>
              <w:t xml:space="preserve"> [ </w:t>
            </w:r>
            <w:r>
              <w:rPr>
                <w:rFonts w:ascii="Times;serif" w:hAnsi="Times;serif"/>
                <w:color w:val="0000FF"/>
                <w:sz w:val="24"/>
                <w:shd w:fill="FFFFFF" w:val="clear"/>
              </w:rPr>
              <w:t>TPR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1007"/>
        <w:gridCol w:w="443"/>
        <w:gridCol w:w="836"/>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220,940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33.81</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848,789</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(2)</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130.17</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840,788</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(2)</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8,112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130.17</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832,676</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(3)</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112,790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130.17</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719,886</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represent performance restricted stock units for which performance measures were certified and vested in full on August 21, 2026. These securities include all dividends accumulated since the granting of the award on August 21,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withheld to pay the taxes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withheld to pay the taxes in connection with the vesting of performance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Emily S. Zahler, Assistant Corporate Secretary, pursuant to a power of attorney filed with the Commission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7592" TargetMode="External"/><Relationship Id="rId5" Type="http://schemas.openxmlformats.org/officeDocument/2006/relationships/hyperlink" Target="http://www.sec.gov/cgi-bin/browse-edgar?action=getcompany&amp;CIK=00011161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3670</Characters>
  <CharactersWithSpaces>4254</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